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F4" w:rsidRDefault="00E637F4"/>
    <w:p w:rsidR="00E637F4" w:rsidRDefault="00E637F4"/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1A1101" w:rsidRPr="00BE074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775502" w:rsidRDefault="00775502" w:rsidP="00775502">
            <w:pPr>
              <w:pStyle w:val="Default"/>
            </w:pPr>
          </w:p>
          <w:p w:rsidR="009B6C8A" w:rsidRPr="00BE0743" w:rsidRDefault="00775502" w:rsidP="00775502">
            <w:pPr>
              <w:jc w:val="center"/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Anexa nr. 1</w:t>
            </w:r>
          </w:p>
        </w:tc>
      </w:tr>
    </w:tbl>
    <w:p w:rsidR="00A276CF" w:rsidRPr="00BE0743" w:rsidRDefault="00A276CF" w:rsidP="00CC1379">
      <w:pPr>
        <w:rPr>
          <w:b/>
        </w:rPr>
      </w:pPr>
    </w:p>
    <w:p w:rsidR="00FA7B7C" w:rsidRPr="00882256" w:rsidRDefault="00FA7B7C" w:rsidP="00FA7B7C">
      <w:pPr>
        <w:jc w:val="center"/>
        <w:rPr>
          <w:rFonts w:eastAsia="Times New Roman"/>
          <w:b/>
          <w:color w:val="000000"/>
          <w:sz w:val="26"/>
          <w:szCs w:val="26"/>
        </w:rPr>
      </w:pPr>
      <w:r w:rsidRPr="00882256">
        <w:rPr>
          <w:rFonts w:eastAsia="Times New Roman"/>
          <w:b/>
          <w:color w:val="000000"/>
          <w:sz w:val="26"/>
          <w:szCs w:val="26"/>
        </w:rPr>
        <w:t>TEMATICA  ȘI  BIBLIOGRAFIA</w:t>
      </w:r>
    </w:p>
    <w:p w:rsidR="006929AD" w:rsidRPr="006929AD" w:rsidRDefault="006929AD" w:rsidP="006929AD">
      <w:pPr>
        <w:ind w:right="175"/>
        <w:jc w:val="center"/>
      </w:pPr>
    </w:p>
    <w:p w:rsidR="008F7610" w:rsidRDefault="008F7610" w:rsidP="00ED7B2A">
      <w:pPr>
        <w:jc w:val="center"/>
        <w:rPr>
          <w:b/>
        </w:rPr>
      </w:pP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Capitolul I – noțiuni generale</w:t>
      </w:r>
    </w:p>
    <w:p w:rsidR="00F579F8" w:rsidRPr="00306A38" w:rsidRDefault="00F579F8" w:rsidP="00F579F8">
      <w:pPr>
        <w:spacing w:beforeAutospacing="1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Tematică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Organizarea, funcționarea și principalele atribuții ale Poliției Române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Drepturile, îndatoririle și restrângerea exercițiului unor drepturi sau libertăți ale polițistului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Recompense, răspunderea juridică și sancțiunile aplicabile polițiștilor;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Încetarea raporturilor de serviciu ale polițiștilor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Etica și deontologia polițienească</w:t>
      </w:r>
    </w:p>
    <w:p w:rsidR="00F579F8" w:rsidRPr="00306A38" w:rsidRDefault="00F579F8" w:rsidP="00F579F8">
      <w:pPr>
        <w:numPr>
          <w:ilvl w:val="0"/>
          <w:numId w:val="13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Protecția persoanelor fizice în ceea ce privește prelucrarea datelor cu caracter personal și libera circulație a acestor date: principii, drepturile persoanei vizate</w:t>
      </w:r>
    </w:p>
    <w:p w:rsidR="00F579F8" w:rsidRPr="00306A38" w:rsidRDefault="00F579F8" w:rsidP="00F579F8">
      <w:pPr>
        <w:spacing w:beforeAutospacing="1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Bibliografie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Legea nr. 218/2002 (*republicată*) privind organizarea și funcționarea Poliției Române, cu modificările și completările ulterioare;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Legea nr. 360/2002 privind Statutul polițistului, cu modificările și completările ulterioare;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 xml:space="preserve">Regulamentul (UE) 2016/679 al Parlamentului European și al Consiliului din 27 aprilie 2016 privind protecția persoanelor fizice în ceea ce privește prelucrarea datelor cu caracter personal și privind libera circulație a acestor date și de abrogare a </w:t>
      </w:r>
      <w:hyperlink r:id="rId8" w:history="1">
        <w:r w:rsidRPr="00306A38">
          <w:rPr>
            <w:color w:val="4F4F4F"/>
            <w:lang w:eastAsia="en-GB"/>
          </w:rPr>
          <w:t>Directivei 95/46/CE</w:t>
        </w:r>
      </w:hyperlink>
      <w:r w:rsidRPr="00306A38">
        <w:rPr>
          <w:color w:val="4F4F4F"/>
          <w:lang w:eastAsia="en-GB"/>
        </w:rPr>
        <w:t xml:space="preserve"> (</w:t>
      </w:r>
      <w:hyperlink r:id="rId9" w:history="1">
        <w:r w:rsidRPr="00306A38">
          <w:rPr>
            <w:color w:val="4F4F4F"/>
            <w:lang w:eastAsia="en-GB"/>
          </w:rPr>
          <w:t>Regulamentul general privind protecția datelor</w:t>
        </w:r>
      </w:hyperlink>
      <w:r w:rsidRPr="00306A38">
        <w:rPr>
          <w:color w:val="4F4F4F"/>
          <w:lang w:eastAsia="en-GB"/>
        </w:rPr>
        <w:t>), Cap. II și Cap. III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Hotărârea de  Guvern nr. 725/2015 pentru stabilirea normelor de aplicare a cap. IV din Legea nr. 360/2002 privind Statutul polițistului, referitoare la acordarea recompenselor şi răspunderea disciplinară a polițiștilor;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Hotărârea de Guvern nr. 991/2005 pentru aprobarea Codului de etică şi deontologie al polițistului;</w:t>
      </w: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*Se va studia legislația actualizată la zi, cu modificările şi completările intervenite până la data publicării anunțului privind organizarea concursului</w:t>
      </w:r>
    </w:p>
    <w:p w:rsidR="00F579F8" w:rsidRPr="00306A38" w:rsidRDefault="00F579F8" w:rsidP="00F579F8">
      <w:pPr>
        <w:tabs>
          <w:tab w:val="left" w:pos="2970"/>
        </w:tabs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Capitolul II – protecția informațiilor clasificate</w:t>
      </w:r>
    </w:p>
    <w:p w:rsidR="00F579F8" w:rsidRPr="00306A38" w:rsidRDefault="00F579F8" w:rsidP="00F579F8">
      <w:pPr>
        <w:spacing w:beforeAutospacing="1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Tematică</w:t>
      </w:r>
    </w:p>
    <w:p w:rsidR="00F579F8" w:rsidRPr="00306A38" w:rsidRDefault="00F579F8" w:rsidP="00F579F8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Informații secrete de stat</w:t>
      </w:r>
    </w:p>
    <w:p w:rsidR="00F579F8" w:rsidRPr="00306A38" w:rsidRDefault="00F579F8" w:rsidP="00F579F8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Informații secrete de serviciu</w:t>
      </w:r>
    </w:p>
    <w:p w:rsidR="00F579F8" w:rsidRPr="00306A38" w:rsidRDefault="00F579F8" w:rsidP="00F579F8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Clasificarea informațiilor</w:t>
      </w:r>
    </w:p>
    <w:p w:rsidR="00F579F8" w:rsidRPr="00306A38" w:rsidRDefault="00F579F8" w:rsidP="00F579F8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Accesul la informații clasificate</w:t>
      </w:r>
    </w:p>
    <w:p w:rsidR="00F579F8" w:rsidRPr="00306A38" w:rsidRDefault="00F579F8" w:rsidP="00F579F8">
      <w:pPr>
        <w:numPr>
          <w:ilvl w:val="0"/>
          <w:numId w:val="15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Reguli generale privind evidența, întocmirea, păstrarea, procesarea, multiplicarea, manipularea, transportul, transmiterea și distrugerea informațiilor clasificate</w:t>
      </w: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Bibliografie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Legea nr.182/2002 privind protecția informațiilor clasificate, cu modificările și completările ulterioare;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Hotărârea de  Guvern nr. 781/2002 privind protecția informațiilor secrete de serviciu;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lastRenderedPageBreak/>
        <w:t>Hotărârea de Guvern nr. 585/2002 pentru aprobarea Standardelor naționale de protecție a informațiilor clasificate în România;</w:t>
      </w: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*Se va studia legislația actualizată la zi, cu modificările și completările intervenite până la data publicării anunțului privind organizarea concursului</w:t>
      </w: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Capitolul III – profilul de specialitate</w:t>
      </w:r>
    </w:p>
    <w:p w:rsidR="00F579F8" w:rsidRPr="00306A38" w:rsidRDefault="00F579F8" w:rsidP="00F579F8">
      <w:pPr>
        <w:spacing w:before="100" w:beforeAutospacing="1" w:after="100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Tematică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>
        <w:rPr>
          <w:color w:val="4F4F4F"/>
          <w:lang w:eastAsia="en-GB"/>
        </w:rPr>
        <w:t>Managementul de proiecte: e</w:t>
      </w:r>
      <w:r w:rsidRPr="0041368D">
        <w:rPr>
          <w:color w:val="4F4F4F"/>
          <w:lang w:eastAsia="en-GB"/>
        </w:rPr>
        <w:t>lemente de bază în structura proiectului</w:t>
      </w:r>
      <w:r>
        <w:rPr>
          <w:color w:val="4F4F4F"/>
          <w:lang w:eastAsia="en-GB"/>
        </w:rPr>
        <w:t>, abordarea matricei cadrul logic, aspecte privind monitorizarea proiectului, managementul riscului;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Managementul financiar al proiectelor;</w:t>
      </w:r>
    </w:p>
    <w:p w:rsidR="00F579F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>
        <w:rPr>
          <w:color w:val="4F4F4F"/>
          <w:lang w:eastAsia="en-GB"/>
        </w:rPr>
        <w:t>Finanțări după modul de gestiune: gestiunea directă, gestiunea indirectă, gestiunea partajată;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Gestionarea unui proiect vizat de un acord de grant, gestionarea, prin intermediul portalului participanților, a proiectelor administrate și finanțate de către Comisia Europeană;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Utilizarea aplicației MySMIS 2014: implementare, achiziții, contractare, gestionare cont, cereri de finanțare, cereri de rambursare, alte operațiuni;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Horizon Europe – program de investiții al UE pentru cercetare și inovare;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Obiectivele de politică și categoriile/prioritățile de investiții/intervenție aferente fondurilor europene structurale și de investiții (FESI) în Cadrul financiar 2021-2027;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Arhitectura programelor operaționale și a sistemului de management și control;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Oportunități de finanțare pentru structurile MAI prin raportare la structura Programelor Operaționale pentru perioada 2021-2027 și a Programelor de Cooperare Teritorială aferente perioadei 2021 - 2027;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Managementul financiar al instrumentelor structurale, prefinanțarea, păstrarea documentelor, control, audit, nereguli, proiecte implementate în parteneriat;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Eligibilitatea cheltuielilor finanțate din fondurile externe nerambursabile;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Prefinanțarea și rambursarea cheltuielilor eligibile/mecanismul decontării cererilor de plată;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Oportunități de finanțare pentru structurile MAI prin Fondul pentru securitate internă al Comisiei Europene;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Oportunități de finanțare pentru structurile MAI prin Instrumentul pentru managementul frontierelor și politica de vize al Comisiei Europene;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 xml:space="preserve">Sistemul de management și control aferent Cadrului financiar multianual 2014-2020, domeniul Afaceri interne; 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 xml:space="preserve">Gestionarea neregulilor privind proiectele finanțate din fonduri externe </w:t>
      </w:r>
      <w:r>
        <w:rPr>
          <w:color w:val="4F4F4F"/>
          <w:lang w:eastAsia="en-GB"/>
        </w:rPr>
        <w:t>nerambursabile: r</w:t>
      </w:r>
      <w:r w:rsidRPr="00306A38">
        <w:rPr>
          <w:color w:val="4F4F4F"/>
          <w:lang w:eastAsia="en-GB"/>
        </w:rPr>
        <w:t>eguli generale și principii;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Definiții referitoare la prevenirea, constatarea și sancționarea neregulilor;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Activitatea de raportare a neregulilor;</w:t>
      </w:r>
    </w:p>
    <w:p w:rsidR="00F579F8" w:rsidRPr="00270B06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270B06">
        <w:rPr>
          <w:color w:val="4F4F4F"/>
          <w:lang w:eastAsia="en-GB"/>
        </w:rPr>
        <w:t>Granturile SEE și Norvegiene: obiective, sectoare prioritare, roluri și responsabilități, cadrul multi-anual de programare, structurile naționale de management și control;</w:t>
      </w:r>
    </w:p>
    <w:p w:rsidR="00F579F8" w:rsidRPr="00605920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605920">
        <w:rPr>
          <w:color w:val="4F4F4F"/>
          <w:lang w:eastAsia="en-GB"/>
        </w:rPr>
        <w:t>Participarea structurilor MAI la Proiectele de Înfrățire Instituțională (Twinning)</w:t>
      </w:r>
      <w:r>
        <w:rPr>
          <w:color w:val="4F4F4F"/>
          <w:lang w:eastAsia="en-GB"/>
        </w:rPr>
        <w:t>;</w:t>
      </w:r>
    </w:p>
    <w:p w:rsidR="00F579F8" w:rsidRPr="00306A38" w:rsidRDefault="00F579F8" w:rsidP="00F579F8">
      <w:pPr>
        <w:numPr>
          <w:ilvl w:val="0"/>
          <w:numId w:val="16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Dispoziții generale privind modul de realizare a achizițiilor publice: principii, confidențialitate, reguli de evi</w:t>
      </w:r>
      <w:r>
        <w:rPr>
          <w:color w:val="4F4F4F"/>
          <w:lang w:eastAsia="en-GB"/>
        </w:rPr>
        <w:t>tare a conflictului de interese.</w:t>
      </w:r>
    </w:p>
    <w:p w:rsidR="00F579F8" w:rsidRPr="00306A38" w:rsidRDefault="00F579F8" w:rsidP="00F579F8">
      <w:pPr>
        <w:spacing w:beforeAutospacing="1" w:afterAutospacing="1"/>
        <w:jc w:val="both"/>
        <w:rPr>
          <w:color w:val="4F4F4F"/>
          <w:lang w:eastAsia="en-GB"/>
        </w:rPr>
      </w:pPr>
      <w:r w:rsidRPr="00306A38">
        <w:rPr>
          <w:b/>
          <w:bCs/>
          <w:color w:val="4F4F4F"/>
          <w:lang w:eastAsia="en-GB"/>
        </w:rPr>
        <w:t>Bibliografie</w:t>
      </w:r>
      <w:r>
        <w:rPr>
          <w:b/>
          <w:bCs/>
          <w:color w:val="4F4F4F"/>
          <w:lang w:eastAsia="en-GB"/>
        </w:rPr>
        <w:t>:</w:t>
      </w:r>
    </w:p>
    <w:p w:rsidR="00F579F8" w:rsidRPr="00306A38" w:rsidRDefault="00F579F8" w:rsidP="00F579F8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/>
        <w:ind w:left="0" w:hanging="426"/>
        <w:jc w:val="both"/>
      </w:pPr>
      <w:r>
        <w:rPr>
          <w:color w:val="4F4F4F"/>
          <w:lang w:eastAsia="en-GB"/>
        </w:rPr>
        <w:t>Ghid de bune practici în management de proiecte (</w:t>
      </w:r>
      <w:hyperlink r:id="rId10" w:history="1">
        <w:r w:rsidRPr="00920CEE">
          <w:rPr>
            <w:rStyle w:val="Hyperlink"/>
            <w:lang w:eastAsia="en-GB"/>
          </w:rPr>
          <w:t>https://www.mdlpa.ro/userfiles/ghid_MP.pdf</w:t>
        </w:r>
      </w:hyperlink>
      <w:r>
        <w:rPr>
          <w:color w:val="4F4F4F"/>
          <w:lang w:eastAsia="en-GB"/>
        </w:rPr>
        <w:t>)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306A38">
        <w:rPr>
          <w:color w:val="4F4F4F"/>
          <w:lang w:eastAsia="en-GB"/>
        </w:rPr>
        <w:t>Ghid de bune practici în managementul financiar al proiectelor (</w:t>
      </w:r>
      <w:hyperlink r:id="rId11" w:history="1">
        <w:r w:rsidRPr="00306A38">
          <w:rPr>
            <w:rStyle w:val="Hyperlink"/>
            <w:lang w:eastAsia="en-GB"/>
          </w:rPr>
          <w:t>https://www.mdlpa.ro/userfiles/ghid_MF.pdf</w:t>
        </w:r>
      </w:hyperlink>
      <w:r w:rsidRPr="00306A38">
        <w:rPr>
          <w:color w:val="4F4F4F"/>
          <w:lang w:eastAsia="en-GB"/>
        </w:rPr>
        <w:t>);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>
        <w:rPr>
          <w:color w:val="4F4F4F"/>
          <w:lang w:eastAsia="en-GB"/>
        </w:rPr>
        <w:t xml:space="preserve">Finanțări după modul </w:t>
      </w:r>
      <w:r>
        <w:t>de gestiune (</w:t>
      </w:r>
      <w:hyperlink r:id="rId12" w:history="1">
        <w:r w:rsidRPr="00BA3578">
          <w:rPr>
            <w:rStyle w:val="Hyperlink"/>
          </w:rPr>
          <w:t>https://ec.europa.eu/info/funding-tenders/find-funding/funding-management-mode_ro</w:t>
        </w:r>
      </w:hyperlink>
      <w:r>
        <w:t>)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306A38">
        <w:rPr>
          <w:color w:val="4F4F4F"/>
          <w:lang w:eastAsia="en-GB"/>
        </w:rPr>
        <w:lastRenderedPageBreak/>
        <w:t>Gestionarea</w:t>
      </w:r>
      <w:r>
        <w:t xml:space="preserve"> unui proiect vizat de un acord de grant (</w:t>
      </w:r>
      <w:hyperlink r:id="rId13" w:history="1">
        <w:r w:rsidRPr="00BA3578">
          <w:rPr>
            <w:rStyle w:val="Hyperlink"/>
          </w:rPr>
          <w:t>https://ec.europa.eu/info/funding-tenders/managing-your-project/managing-your-project-under-grant-agreement_ro</w:t>
        </w:r>
      </w:hyperlink>
      <w:r>
        <w:t xml:space="preserve"> ); 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4D16E7">
        <w:rPr>
          <w:color w:val="4F4F4F"/>
          <w:lang w:eastAsia="en-GB"/>
        </w:rPr>
        <w:t>Aplicația MySMIS 2014</w:t>
      </w:r>
      <w:r>
        <w:t xml:space="preserve"> (</w:t>
      </w:r>
      <w:hyperlink r:id="rId14" w:history="1">
        <w:r w:rsidRPr="00306A38">
          <w:rPr>
            <w:rStyle w:val="Hyperlink"/>
          </w:rPr>
          <w:t>https://www.fonduri-ue.ro/mysmis</w:t>
        </w:r>
      </w:hyperlink>
      <w:r>
        <w:rPr>
          <w:rStyle w:val="Hyperlink"/>
        </w:rPr>
        <w:t>)</w:t>
      </w:r>
      <w:r w:rsidRPr="0021113D">
        <w:t>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4D16E7">
        <w:rPr>
          <w:color w:val="4F4F4F"/>
          <w:lang w:eastAsia="en-GB"/>
        </w:rPr>
        <w:t>Horizon Europe 2021-2027</w:t>
      </w:r>
      <w:r w:rsidRPr="0015650F">
        <w:t xml:space="preserve"> </w:t>
      </w:r>
      <w:r>
        <w:t>(</w:t>
      </w:r>
      <w:hyperlink r:id="rId15" w:history="1">
        <w:r w:rsidRPr="0025079B">
          <w:rPr>
            <w:rStyle w:val="Hyperlink"/>
          </w:rPr>
          <w:t>https://ec.europa.eu/info/research-and-innovation/funding/funding-opportunities/funding-programmes-and-open-calls/horizon-europe_en</w:t>
        </w:r>
      </w:hyperlink>
      <w:r>
        <w:t>)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306A38">
        <w:rPr>
          <w:color w:val="4F4F4F"/>
          <w:lang w:eastAsia="en-GB"/>
        </w:rPr>
        <w:t>Obiectivele</w:t>
      </w:r>
      <w:r w:rsidRPr="00EA468B">
        <w:rPr>
          <w:color w:val="4F4F4F"/>
          <w:lang w:eastAsia="en-GB"/>
        </w:rPr>
        <w:t xml:space="preserve"> de politică aferente Cadrului Financiar Multianual 2021-2027</w:t>
      </w:r>
      <w:r w:rsidRPr="00306A38">
        <w:t> (</w:t>
      </w:r>
      <w:hyperlink r:id="rId16" w:history="1">
        <w:r w:rsidRPr="00306A38">
          <w:rPr>
            <w:rStyle w:val="Hyperlink"/>
          </w:rPr>
          <w:t>https://mfe.gov.ro/minister/perioade-de-programare/perioada-2021-2027/</w:t>
        </w:r>
      </w:hyperlink>
      <w:r w:rsidRPr="00306A38">
        <w:t>);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EA468B">
        <w:rPr>
          <w:color w:val="4F4F4F"/>
          <w:lang w:eastAsia="en-GB"/>
        </w:rPr>
        <w:t>Acordul de Parteneriat pentru perioada de Programare 2021-2027</w:t>
      </w:r>
      <w:r w:rsidRPr="00306A38">
        <w:t xml:space="preserve"> (</w:t>
      </w:r>
      <w:hyperlink r:id="rId17" w:history="1">
        <w:r w:rsidRPr="00306A38">
          <w:rPr>
            <w:rStyle w:val="Hyperlink"/>
          </w:rPr>
          <w:t>https://mfe.gov.ro/minister/perioade-de-programare/perioada-2021-2027/</w:t>
        </w:r>
      </w:hyperlink>
      <w:r w:rsidRPr="00306A38">
        <w:t>);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A04D87">
        <w:rPr>
          <w:color w:val="4F4F4F"/>
          <w:lang w:eastAsia="en-GB"/>
        </w:rPr>
        <w:t>Prog</w:t>
      </w:r>
      <w:r w:rsidRPr="00276436">
        <w:rPr>
          <w:lang w:eastAsia="en-GB"/>
        </w:rPr>
        <w:t xml:space="preserve">rame </w:t>
      </w:r>
      <w:r w:rsidRPr="007D2442">
        <w:rPr>
          <w:color w:val="4F4F4F"/>
          <w:lang w:eastAsia="en-GB"/>
        </w:rPr>
        <w:t>Operaționale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Regionale</w:t>
      </w:r>
      <w:r w:rsidRPr="00276436">
        <w:t xml:space="preserve"> (</w:t>
      </w:r>
      <w:hyperlink r:id="rId18" w:history="1">
        <w:r w:rsidRPr="00A04D87">
          <w:rPr>
            <w:rStyle w:val="Hyperlink"/>
            <w:lang w:eastAsia="en-GB"/>
          </w:rPr>
          <w:t>https://mfe.gov.ro/minister/perioade-de-programare/perioada-2021-2027/</w:t>
        </w:r>
      </w:hyperlink>
      <w:r w:rsidRPr="00276436">
        <w:t>)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A04D87">
        <w:rPr>
          <w:color w:val="4F4F4F"/>
          <w:lang w:eastAsia="en-GB"/>
        </w:rPr>
        <w:t>Pro</w:t>
      </w:r>
      <w:r w:rsidRPr="00276436">
        <w:rPr>
          <w:lang w:eastAsia="en-GB"/>
        </w:rPr>
        <w:t xml:space="preserve">gramul </w:t>
      </w:r>
      <w:r w:rsidRPr="007D2442">
        <w:rPr>
          <w:color w:val="4F4F4F"/>
          <w:lang w:eastAsia="en-GB"/>
        </w:rPr>
        <w:t>Operațional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Comun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România</w:t>
      </w:r>
      <w:r w:rsidRPr="00276436">
        <w:rPr>
          <w:lang w:eastAsia="en-GB"/>
        </w:rPr>
        <w:t>-</w:t>
      </w:r>
      <w:r w:rsidRPr="007D2442">
        <w:rPr>
          <w:color w:val="4F4F4F"/>
          <w:lang w:eastAsia="en-GB"/>
        </w:rPr>
        <w:t>Republica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Moldova</w:t>
      </w:r>
      <w:r w:rsidRPr="00276436">
        <w:rPr>
          <w:lang w:eastAsia="en-GB"/>
        </w:rPr>
        <w:t xml:space="preserve"> (</w:t>
      </w:r>
      <w:hyperlink r:id="rId19" w:history="1">
        <w:r w:rsidRPr="00A04D87">
          <w:rPr>
            <w:rStyle w:val="Hyperlink"/>
            <w:lang w:eastAsia="en-GB"/>
          </w:rPr>
          <w:t>https://ro-md.net/ro/despre-program</w:t>
        </w:r>
      </w:hyperlink>
      <w:r w:rsidRPr="00276436">
        <w:rPr>
          <w:lang w:eastAsia="en-GB"/>
        </w:rPr>
        <w:t xml:space="preserve">) 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7D2442">
        <w:rPr>
          <w:color w:val="4F4F4F"/>
          <w:lang w:eastAsia="en-GB"/>
        </w:rPr>
        <w:t>Programul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Operațional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Comun</w:t>
      </w:r>
      <w:r w:rsidRPr="00276436">
        <w:rPr>
          <w:lang w:eastAsia="en-GB"/>
        </w:rPr>
        <w:t xml:space="preserve"> </w:t>
      </w:r>
      <w:r w:rsidRPr="007D2442">
        <w:rPr>
          <w:color w:val="4F4F4F"/>
          <w:lang w:eastAsia="en-GB"/>
        </w:rPr>
        <w:t>România</w:t>
      </w:r>
      <w:r w:rsidRPr="00276436">
        <w:rPr>
          <w:lang w:eastAsia="en-GB"/>
        </w:rPr>
        <w:t>-</w:t>
      </w:r>
      <w:r w:rsidRPr="007D2442">
        <w:rPr>
          <w:color w:val="4F4F4F"/>
          <w:lang w:eastAsia="en-GB"/>
        </w:rPr>
        <w:t>Ucraina</w:t>
      </w:r>
      <w:r w:rsidRPr="00276436">
        <w:t xml:space="preserve"> (</w:t>
      </w:r>
      <w:hyperlink r:id="rId20" w:history="1">
        <w:r w:rsidRPr="00A04D87">
          <w:rPr>
            <w:rStyle w:val="Hyperlink"/>
            <w:lang w:eastAsia="en-GB"/>
          </w:rPr>
          <w:t>https://ro-ua.net/ro/about-the-programme-ro/prezentare-general%C4%83.html</w:t>
        </w:r>
      </w:hyperlink>
      <w:r w:rsidRPr="00276436">
        <w:t xml:space="preserve">) 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A04D87">
        <w:rPr>
          <w:color w:val="4F4F4F"/>
          <w:lang w:eastAsia="en-GB"/>
        </w:rPr>
        <w:t>Programul</w:t>
      </w:r>
      <w:r w:rsidRPr="007D2442">
        <w:rPr>
          <w:color w:val="4F4F4F"/>
          <w:lang w:eastAsia="en-GB"/>
        </w:rPr>
        <w:t xml:space="preserve"> Interreg România – Ungaria 2021-2027</w:t>
      </w:r>
      <w:r w:rsidRPr="00276436">
        <w:t xml:space="preserve"> (</w:t>
      </w:r>
      <w:hyperlink r:id="rId21" w:history="1">
        <w:r w:rsidRPr="0025079B">
          <w:rPr>
            <w:rStyle w:val="Hyperlink"/>
          </w:rPr>
          <w:t>https://interreg-rohu.eu/ro/despre-program/</w:t>
        </w:r>
      </w:hyperlink>
      <w:r>
        <w:t>);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lang w:eastAsia="en-GB"/>
        </w:rPr>
      </w:pPr>
      <w:r w:rsidRPr="00A04D87">
        <w:rPr>
          <w:color w:val="4F4F4F"/>
          <w:lang w:eastAsia="en-GB"/>
        </w:rPr>
        <w:t>Programul Interreg IPA CBC Romania – Serbia 2021 - 2027</w:t>
      </w:r>
      <w:r w:rsidRPr="00276436">
        <w:rPr>
          <w:lang w:eastAsia="en-GB"/>
        </w:rPr>
        <w:t xml:space="preserve"> </w:t>
      </w:r>
      <w:r w:rsidRPr="00276436">
        <w:t>(</w:t>
      </w:r>
      <w:hyperlink r:id="rId22" w:history="1">
        <w:r w:rsidRPr="0025079B">
          <w:rPr>
            <w:rStyle w:val="Hyperlink"/>
          </w:rPr>
          <w:t>https://www.romania-serbia.net/?page_id=173</w:t>
        </w:r>
      </w:hyperlink>
      <w:r>
        <w:t xml:space="preserve"> );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A04D87">
        <w:rPr>
          <w:color w:val="4F4F4F"/>
          <w:lang w:eastAsia="en-GB"/>
        </w:rPr>
        <w:t>Programul</w:t>
      </w:r>
      <w:r w:rsidRPr="00276436">
        <w:rPr>
          <w:lang w:eastAsia="en-GB"/>
        </w:rPr>
        <w:t xml:space="preserve"> </w:t>
      </w:r>
      <w:r w:rsidRPr="00A04D87">
        <w:rPr>
          <w:color w:val="4F4F4F"/>
          <w:lang w:eastAsia="en-GB"/>
        </w:rPr>
        <w:t>Interreg VI-A România – Bulgaria 2021-2027</w:t>
      </w:r>
      <w:r w:rsidRPr="00276436">
        <w:t xml:space="preserve"> (</w:t>
      </w:r>
      <w:hyperlink r:id="rId23" w:history="1">
        <w:r w:rsidRPr="007D2442">
          <w:rPr>
            <w:rStyle w:val="Hyperlink"/>
            <w:lang w:eastAsia="en-GB"/>
          </w:rPr>
          <w:t>https://interregviarobg.eu/</w:t>
        </w:r>
      </w:hyperlink>
      <w:r w:rsidRPr="007D2442">
        <w:rPr>
          <w:rStyle w:val="Hyperlink"/>
          <w:lang w:eastAsia="en-GB"/>
        </w:rPr>
        <w:t>)</w:t>
      </w:r>
      <w:r w:rsidRPr="00276436">
        <w:t>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Ordonanța de Urgență nr. 64/2009 privind gestionarea financiară  a instrumentelor structurale și utilizarea acestora pentru obiectivul convergență, cu modificările și completările ulterioare – Capitolele II, IV, VI, VIII;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Ordinul nr. 76/2015 privind regulile de eligibilitate aplicabile cheltuielilor în cadrul Fondului pentru securitate internă și Fondului pentru azil, migrație și integrare, cu modificările și completările ulterioare;</w:t>
      </w:r>
    </w:p>
    <w:p w:rsidR="00F579F8" w:rsidRPr="00276436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>
        <w:rPr>
          <w:color w:val="4F4F4F"/>
          <w:lang w:eastAsia="en-GB"/>
        </w:rPr>
        <w:t>Ordonanță de U</w:t>
      </w:r>
      <w:r w:rsidRPr="00276436">
        <w:rPr>
          <w:color w:val="4F4F4F"/>
          <w:lang w:eastAsia="en-GB"/>
        </w:rPr>
        <w:t>rgență</w:t>
      </w:r>
      <w:r>
        <w:rPr>
          <w:color w:val="4F4F4F"/>
          <w:lang w:eastAsia="en-GB"/>
        </w:rPr>
        <w:t xml:space="preserve"> nr. 40/</w:t>
      </w:r>
      <w:r w:rsidRPr="00276436">
        <w:rPr>
          <w:color w:val="4F4F4F"/>
          <w:lang w:eastAsia="en-GB"/>
        </w:rPr>
        <w:t>2015</w:t>
      </w:r>
      <w:r>
        <w:rPr>
          <w:color w:val="4F4F4F"/>
          <w:lang w:eastAsia="en-GB"/>
        </w:rPr>
        <w:t xml:space="preserve"> </w:t>
      </w:r>
      <w:r w:rsidRPr="00276436">
        <w:rPr>
          <w:color w:val="4F4F4F"/>
          <w:lang w:eastAsia="en-GB"/>
        </w:rPr>
        <w:t>privind gestionarea financiară a fondurilor europene pentru perioada de programare 2014-2020</w:t>
      </w:r>
      <w:r>
        <w:rPr>
          <w:color w:val="4F4F4F"/>
          <w:lang w:eastAsia="en-GB"/>
        </w:rPr>
        <w:t xml:space="preserve"> </w:t>
      </w:r>
      <w:r w:rsidRPr="00306A38">
        <w:rPr>
          <w:color w:val="4F4F4F"/>
          <w:lang w:eastAsia="en-GB"/>
        </w:rPr>
        <w:t>cu modificările și completările ulterioare</w:t>
      </w:r>
      <w:r>
        <w:rPr>
          <w:color w:val="4F4F4F"/>
          <w:lang w:eastAsia="en-GB"/>
        </w:rPr>
        <w:t xml:space="preserve"> (cap. IV și V);</w:t>
      </w:r>
    </w:p>
    <w:p w:rsidR="00F579F8" w:rsidRPr="00DA3AD2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>
        <w:rPr>
          <w:color w:val="4F4F4F"/>
          <w:lang w:eastAsia="en-GB"/>
        </w:rPr>
        <w:t>Programul</w:t>
      </w:r>
      <w:r w:rsidRPr="00DA3AD2">
        <w:rPr>
          <w:color w:val="4F4F4F"/>
          <w:lang w:eastAsia="en-GB"/>
        </w:rPr>
        <w:t xml:space="preserve"> Național 2021-2027 –  Fondul securitate internă (FSI)</w:t>
      </w:r>
      <w:r>
        <w:rPr>
          <w:color w:val="4F4F4F"/>
          <w:lang w:eastAsia="en-GB"/>
        </w:rPr>
        <w:t xml:space="preserve"> (</w:t>
      </w:r>
      <w:hyperlink r:id="rId24" w:history="1">
        <w:r w:rsidRPr="005817A2">
          <w:rPr>
            <w:rStyle w:val="Hyperlink"/>
            <w:lang w:eastAsia="en-GB"/>
          </w:rPr>
          <w:t xml:space="preserve">https://fed.mai.gov.ro/wp-content/uploads/2021/10/FSI-sfc2021-7380644266435631229.pdf </w:t>
        </w:r>
        <w:r w:rsidRPr="00BA3578">
          <w:rPr>
            <w:rStyle w:val="Hyperlink"/>
            <w:lang w:eastAsia="en-GB"/>
          </w:rPr>
          <w:t>/</w:t>
        </w:r>
      </w:hyperlink>
      <w:r>
        <w:rPr>
          <w:color w:val="4F4F4F"/>
          <w:lang w:eastAsia="en-GB"/>
        </w:rPr>
        <w:t>);</w:t>
      </w:r>
    </w:p>
    <w:p w:rsidR="00F579F8" w:rsidRPr="00DA3AD2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DA3AD2">
        <w:rPr>
          <w:color w:val="4F4F4F"/>
          <w:lang w:eastAsia="en-GB"/>
        </w:rPr>
        <w:t>Fondul securitate internă (FSI) – Regulamentul (UE) 2021/1149 al Parlamentului European și al Consiliului din 7 iulie 2021 de instituire a Fondului pentru securitate internă (</w:t>
      </w:r>
      <w:hyperlink r:id="rId25" w:history="1">
        <w:r w:rsidRPr="00DA3AD2">
          <w:rPr>
            <w:rStyle w:val="Hyperlink"/>
            <w:lang w:eastAsia="en-GB"/>
          </w:rPr>
          <w:t>https://fed.mai.gov.ro/1563/fondurile-europene-dedicate-afacerilor-interne-2021-2027-fami-fsi-imfpv-regulamente-europene-adoptate/</w:t>
        </w:r>
      </w:hyperlink>
      <w:r>
        <w:rPr>
          <w:color w:val="4F4F4F"/>
          <w:lang w:eastAsia="en-GB"/>
        </w:rPr>
        <w:t>);</w:t>
      </w:r>
      <w:r w:rsidRPr="00DA3AD2">
        <w:rPr>
          <w:color w:val="4F4F4F"/>
          <w:lang w:eastAsia="en-GB"/>
        </w:rPr>
        <w:t xml:space="preserve"> </w:t>
      </w:r>
    </w:p>
    <w:p w:rsidR="00F579F8" w:rsidRPr="00DA3AD2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DA3AD2">
        <w:rPr>
          <w:color w:val="4F4F4F"/>
          <w:lang w:eastAsia="en-GB"/>
        </w:rPr>
        <w:t>Programul Național 2021-2027 –  Instrumentul pentru managementul frontierelor și politica de vize (IMFV)</w:t>
      </w:r>
      <w:r>
        <w:rPr>
          <w:color w:val="4F4F4F"/>
          <w:lang w:eastAsia="en-GB"/>
        </w:rPr>
        <w:t xml:space="preserve"> (</w:t>
      </w:r>
      <w:hyperlink r:id="rId26" w:history="1">
        <w:r w:rsidRPr="00BA3578">
          <w:rPr>
            <w:rStyle w:val="Hyperlink"/>
            <w:lang w:eastAsia="en-GB"/>
          </w:rPr>
          <w:t>h</w:t>
        </w:r>
      </w:hyperlink>
      <w:r w:rsidRPr="00401B0C">
        <w:t xml:space="preserve"> </w:t>
      </w:r>
      <w:hyperlink r:id="rId27" w:history="1">
        <w:r w:rsidRPr="0025079B">
          <w:rPr>
            <w:rStyle w:val="Hyperlink"/>
          </w:rPr>
          <w:t>https://fed.mai.gov.ro/wp-content/uploads/2021/10/IMFV-sfc2021-372639734466716110.pdf</w:t>
        </w:r>
      </w:hyperlink>
      <w:r>
        <w:t xml:space="preserve"> </w:t>
      </w:r>
      <w:r>
        <w:rPr>
          <w:color w:val="4F4F4F"/>
          <w:lang w:eastAsia="en-GB"/>
        </w:rPr>
        <w:t>);</w:t>
      </w:r>
    </w:p>
    <w:p w:rsidR="00F579F8" w:rsidRPr="00DA3AD2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DA3AD2">
        <w:rPr>
          <w:color w:val="4F4F4F"/>
          <w:lang w:eastAsia="en-GB"/>
        </w:rPr>
        <w:t>Instrumentul pentru managementul frontierelor și politica de vize (IMFV) – Regulamentul (UE) 2021/1148 al Parlamentului</w:t>
      </w:r>
      <w:r w:rsidRPr="004D16E7">
        <w:rPr>
          <w:color w:val="4F4F4F"/>
          <w:lang w:eastAsia="en-GB"/>
        </w:rPr>
        <w:t xml:space="preserve"> European și al Consiliului din 7 iulie 2021 de instituire, ca parte a Fondului de management integrat al frontierelor, a Instrumentului de sprijin financiar pentru managementul frontierelor și politica de vize</w:t>
      </w:r>
      <w:r>
        <w:t xml:space="preserve"> (</w:t>
      </w:r>
      <w:hyperlink r:id="rId28" w:history="1">
        <w:r w:rsidRPr="00BA3578">
          <w:rPr>
            <w:rStyle w:val="Hyperlink"/>
          </w:rPr>
          <w:t>https://fed.mai.gov.ro/1563/fondurile-europene-dedicate-afacerilor-interne-2021-2027-fami-fsi-imfpv-regulamente-europene-adoptate/</w:t>
        </w:r>
      </w:hyperlink>
      <w:r>
        <w:t>);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Hotărârea nr. 48/2015 privind stabilirea sistemului de management și control în vederea gestionării fondurilor acordate României prin Cadrul financiar multianual 2014-2020, domeniul Afaceri interne</w:t>
      </w:r>
      <w:r>
        <w:rPr>
          <w:color w:val="4F4F4F"/>
          <w:lang w:eastAsia="en-GB"/>
        </w:rPr>
        <w:t>, cu modificările și completările ulterioare;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Ordonanța de Urgență a Guvernului nr. 66/2011 privind prevenirea, constatarea și  sancționarea  neregulilor apărute în obținerea și utilizarea fondurilor europene și/sau a fondurilor publice naționale aferente acestora, cu modificările și completările ulterioare;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270B06">
        <w:rPr>
          <w:color w:val="4F4F4F"/>
          <w:lang w:eastAsia="en-GB"/>
        </w:rPr>
        <w:t>Memorandum de Înțelegere din 13 octombrie 2016 privind implementarea Mecanismului financiar SEE 2014-2021 între Islanda, Principatul Liechtenstein, Regatul Norvegiei, denumite în continuare state donatoare, și Guvernul României, denumit în continuare stat beneficiar, denumite în continuare împreună pârți</w:t>
      </w:r>
      <w:r>
        <w:rPr>
          <w:color w:val="4F4F4F"/>
          <w:lang w:eastAsia="en-GB"/>
        </w:rPr>
        <w:t>;</w:t>
      </w:r>
    </w:p>
    <w:p w:rsidR="00F579F8" w:rsidRPr="0041368D" w:rsidRDefault="00F579F8" w:rsidP="00F579F8">
      <w:pPr>
        <w:numPr>
          <w:ilvl w:val="0"/>
          <w:numId w:val="14"/>
        </w:numPr>
        <w:tabs>
          <w:tab w:val="clear" w:pos="720"/>
        </w:tabs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>
        <w:rPr>
          <w:color w:val="4F4F4F"/>
          <w:lang w:eastAsia="en-GB"/>
        </w:rPr>
        <w:lastRenderedPageBreak/>
        <w:t>Regulamentul privind implementarea Mecanismului Financiar Norvegian 2014-2021 (</w:t>
      </w:r>
      <w:hyperlink r:id="rId29" w:history="1">
        <w:r w:rsidRPr="00920CEE">
          <w:rPr>
            <w:rStyle w:val="Hyperlink"/>
            <w:lang w:eastAsia="en-GB"/>
          </w:rPr>
          <w:t>https://norwaygrants-ro.mai.gov.ro/wp-content/uploads/2018/12/Regulamentul-Mecanismului-Financiar-Norvegian-2014-2021-RO.pdf</w:t>
        </w:r>
      </w:hyperlink>
      <w:r>
        <w:rPr>
          <w:color w:val="4F4F4F"/>
          <w:lang w:eastAsia="en-GB"/>
        </w:rPr>
        <w:t>);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761272">
        <w:rPr>
          <w:color w:val="4F4F4F"/>
          <w:lang w:eastAsia="en-GB"/>
        </w:rPr>
        <w:t>Manualul Twinning</w:t>
      </w:r>
      <w:r>
        <w:t xml:space="preserve"> </w:t>
      </w:r>
      <w:r w:rsidRPr="00306A38">
        <w:t>(</w:t>
      </w:r>
      <w:hyperlink r:id="rId30" w:history="1">
        <w:r w:rsidRPr="00306A38">
          <w:rPr>
            <w:rStyle w:val="Hyperlink"/>
          </w:rPr>
          <w:t>https://ec.europa.eu/neighbourhood-enlargement/funding-and-technical-assistance/twinning_en</w:t>
        </w:r>
      </w:hyperlink>
      <w:r>
        <w:t>);</w:t>
      </w:r>
    </w:p>
    <w:p w:rsidR="00F579F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</w:pPr>
      <w:r w:rsidRPr="00761272">
        <w:rPr>
          <w:color w:val="4F4F4F"/>
          <w:lang w:eastAsia="en-GB"/>
        </w:rPr>
        <w:t>Înfrățire instituționala Twinning Out</w:t>
      </w:r>
      <w:r>
        <w:t xml:space="preserve"> (</w:t>
      </w:r>
      <w:hyperlink r:id="rId31" w:history="1">
        <w:r w:rsidRPr="00BA3578">
          <w:rPr>
            <w:rStyle w:val="Hyperlink"/>
          </w:rPr>
          <w:t>https://www.fonduri-ue.ro/twinning</w:t>
        </w:r>
      </w:hyperlink>
      <w:r>
        <w:t xml:space="preserve"> );</w:t>
      </w:r>
    </w:p>
    <w:p w:rsidR="00F579F8" w:rsidRPr="00306A38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306A38">
        <w:rPr>
          <w:color w:val="4F4F4F"/>
          <w:lang w:eastAsia="en-GB"/>
        </w:rPr>
        <w:t>Legea nr. 98/2016 privind achizițiile publice, cu modificările și completările ulterioare;</w:t>
      </w:r>
    </w:p>
    <w:p w:rsidR="00F579F8" w:rsidRPr="00761272" w:rsidRDefault="00F579F8" w:rsidP="00F579F8">
      <w:pPr>
        <w:numPr>
          <w:ilvl w:val="0"/>
          <w:numId w:val="14"/>
        </w:numPr>
        <w:spacing w:before="100" w:beforeAutospacing="1" w:after="100" w:afterAutospacing="1"/>
        <w:ind w:left="0"/>
        <w:jc w:val="both"/>
        <w:rPr>
          <w:color w:val="4F4F4F"/>
          <w:lang w:eastAsia="en-GB"/>
        </w:rPr>
      </w:pPr>
      <w:r w:rsidRPr="00761272">
        <w:rPr>
          <w:color w:val="4F4F4F"/>
          <w:lang w:eastAsia="en-GB"/>
        </w:rPr>
        <w:t>Ordinul nr. 143/2015 privind activitățile de relații internaționale și de afaceri europene la nivelul Ministerului Afacerilor Interne</w:t>
      </w:r>
      <w:r>
        <w:rPr>
          <w:color w:val="4F4F4F"/>
          <w:lang w:eastAsia="en-GB"/>
        </w:rPr>
        <w:t>.</w:t>
      </w:r>
    </w:p>
    <w:p w:rsidR="00F579F8" w:rsidRPr="00306A38" w:rsidRDefault="00F579F8" w:rsidP="00F579F8">
      <w:pPr>
        <w:spacing w:before="100" w:beforeAutospacing="1" w:after="100" w:afterAutospacing="1"/>
        <w:jc w:val="both"/>
      </w:pPr>
      <w:r w:rsidRPr="00306A38">
        <w:rPr>
          <w:color w:val="4F4F4F"/>
          <w:lang w:eastAsia="en-GB"/>
        </w:rPr>
        <w:t> </w:t>
      </w:r>
      <w:r w:rsidRPr="00306A38">
        <w:rPr>
          <w:b/>
          <w:bCs/>
          <w:color w:val="4F4F4F"/>
          <w:lang w:eastAsia="en-GB"/>
        </w:rPr>
        <w:t>*Se va studia legislația actualizată la zi, cu modificările și completările intervenite până la data publicării anunțului privind organizarea concursului</w:t>
      </w:r>
    </w:p>
    <w:p w:rsidR="00F579F8" w:rsidRPr="00D400EF" w:rsidRDefault="00F579F8" w:rsidP="00F579F8">
      <w:pPr>
        <w:spacing w:line="276" w:lineRule="auto"/>
        <w:ind w:left="-1" w:firstLine="721"/>
        <w:jc w:val="center"/>
        <w:rPr>
          <w:b/>
          <w:sz w:val="28"/>
          <w:szCs w:val="28"/>
        </w:rPr>
      </w:pPr>
    </w:p>
    <w:p w:rsidR="0048536E" w:rsidRPr="0048536E" w:rsidRDefault="0048536E" w:rsidP="0048536E">
      <w:pPr>
        <w:tabs>
          <w:tab w:val="left" w:pos="33"/>
          <w:tab w:val="left" w:pos="444"/>
        </w:tabs>
        <w:ind w:left="33"/>
        <w:jc w:val="both"/>
        <w:rPr>
          <w:b/>
          <w:sz w:val="26"/>
          <w:szCs w:val="26"/>
        </w:rPr>
      </w:pPr>
      <w:bookmarkStart w:id="0" w:name="_GoBack"/>
      <w:bookmarkEnd w:id="0"/>
    </w:p>
    <w:p w:rsidR="0048536E" w:rsidRPr="0048536E" w:rsidRDefault="0048536E" w:rsidP="0048536E">
      <w:pPr>
        <w:tabs>
          <w:tab w:val="left" w:pos="33"/>
          <w:tab w:val="left" w:pos="444"/>
        </w:tabs>
        <w:ind w:left="33"/>
        <w:jc w:val="both"/>
        <w:rPr>
          <w:b/>
          <w:sz w:val="26"/>
          <w:szCs w:val="26"/>
        </w:rPr>
      </w:pPr>
    </w:p>
    <w:p w:rsidR="0048536E" w:rsidRPr="0048536E" w:rsidRDefault="0048536E" w:rsidP="0048536E">
      <w:pPr>
        <w:tabs>
          <w:tab w:val="left" w:pos="33"/>
          <w:tab w:val="left" w:pos="444"/>
        </w:tabs>
        <w:ind w:left="33"/>
        <w:jc w:val="both"/>
        <w:rPr>
          <w:b/>
          <w:sz w:val="26"/>
          <w:szCs w:val="26"/>
        </w:rPr>
      </w:pPr>
    </w:p>
    <w:p w:rsidR="00ED7B2A" w:rsidRPr="008F7610" w:rsidRDefault="00ED7B2A" w:rsidP="0048536E">
      <w:pPr>
        <w:tabs>
          <w:tab w:val="left" w:pos="33"/>
          <w:tab w:val="left" w:pos="444"/>
        </w:tabs>
        <w:ind w:left="33"/>
        <w:jc w:val="both"/>
        <w:rPr>
          <w:b/>
        </w:rPr>
      </w:pPr>
    </w:p>
    <w:p w:rsidR="00C34508" w:rsidRPr="00BE0743" w:rsidRDefault="00C34508" w:rsidP="00C34508">
      <w:pPr>
        <w:jc w:val="center"/>
        <w:rPr>
          <w:b/>
        </w:rPr>
      </w:pPr>
    </w:p>
    <w:p w:rsidR="00C34508" w:rsidRPr="00BE0743" w:rsidRDefault="00C34508" w:rsidP="00AC7F97">
      <w:pPr>
        <w:ind w:left="360"/>
        <w:jc w:val="both"/>
        <w:rPr>
          <w:rFonts w:eastAsia="Times New Roman"/>
          <w:color w:val="000000"/>
        </w:rPr>
      </w:pPr>
    </w:p>
    <w:sectPr w:rsidR="00C34508" w:rsidRPr="00BE0743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E8D" w:rsidRDefault="00E17E8D">
      <w:r>
        <w:separator/>
      </w:r>
    </w:p>
  </w:endnote>
  <w:endnote w:type="continuationSeparator" w:id="0">
    <w:p w:rsidR="00E17E8D" w:rsidRDefault="00E17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E8D" w:rsidRDefault="00E17E8D">
      <w:r>
        <w:separator/>
      </w:r>
    </w:p>
  </w:footnote>
  <w:footnote w:type="continuationSeparator" w:id="0">
    <w:p w:rsidR="00E17E8D" w:rsidRDefault="00E17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D55838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B644D"/>
    <w:multiLevelType w:val="hybridMultilevel"/>
    <w:tmpl w:val="4E7C4300"/>
    <w:lvl w:ilvl="0" w:tplc="04090017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E4824B1"/>
    <w:multiLevelType w:val="multilevel"/>
    <w:tmpl w:val="9826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D0AF1"/>
    <w:multiLevelType w:val="multilevel"/>
    <w:tmpl w:val="E6E8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3766D7"/>
    <w:multiLevelType w:val="multilevel"/>
    <w:tmpl w:val="29BA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6B7E1F"/>
    <w:multiLevelType w:val="hybridMultilevel"/>
    <w:tmpl w:val="7CECC722"/>
    <w:lvl w:ilvl="0" w:tplc="04090017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A00864"/>
    <w:multiLevelType w:val="multilevel"/>
    <w:tmpl w:val="3386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891F06"/>
    <w:multiLevelType w:val="hybridMultilevel"/>
    <w:tmpl w:val="DDC2108A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EE638C3"/>
    <w:multiLevelType w:val="multilevel"/>
    <w:tmpl w:val="7BA6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5644F"/>
    <w:multiLevelType w:val="hybridMultilevel"/>
    <w:tmpl w:val="D6449B1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862618"/>
    <w:multiLevelType w:val="hybridMultilevel"/>
    <w:tmpl w:val="4E7C4300"/>
    <w:lvl w:ilvl="0" w:tplc="04090017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7CE10C5D"/>
    <w:multiLevelType w:val="hybridMultilevel"/>
    <w:tmpl w:val="989ACE64"/>
    <w:lvl w:ilvl="0" w:tplc="9CE8E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15"/>
  </w:num>
  <w:num w:numId="9">
    <w:abstractNumId w:val="2"/>
  </w:num>
  <w:num w:numId="10">
    <w:abstractNumId w:val="10"/>
  </w:num>
  <w:num w:numId="11">
    <w:abstractNumId w:val="6"/>
  </w:num>
  <w:num w:numId="12">
    <w:abstractNumId w:val="14"/>
  </w:num>
  <w:num w:numId="13">
    <w:abstractNumId w:val="1"/>
  </w:num>
  <w:num w:numId="14">
    <w:abstractNumId w:val="0"/>
  </w:num>
  <w:num w:numId="15">
    <w:abstractNumId w:val="7"/>
  </w:num>
  <w:num w:numId="16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1B0E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37B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67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568F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39E5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B70F4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B5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0C38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A96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2F6CDF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399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705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536E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476E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5483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3F1C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35D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9AD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5502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C5F5F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5C28"/>
    <w:rsid w:val="007F65DE"/>
    <w:rsid w:val="00803B78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91F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256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610"/>
    <w:rsid w:val="008F7A82"/>
    <w:rsid w:val="00904F4B"/>
    <w:rsid w:val="009066F4"/>
    <w:rsid w:val="0090749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B6C8A"/>
    <w:rsid w:val="009C38CA"/>
    <w:rsid w:val="009C5792"/>
    <w:rsid w:val="009D2CB8"/>
    <w:rsid w:val="009D341F"/>
    <w:rsid w:val="009D6E3F"/>
    <w:rsid w:val="009E0ECA"/>
    <w:rsid w:val="009E4804"/>
    <w:rsid w:val="009F38B3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090"/>
    <w:rsid w:val="00B347FC"/>
    <w:rsid w:val="00B36E69"/>
    <w:rsid w:val="00B4336F"/>
    <w:rsid w:val="00B47053"/>
    <w:rsid w:val="00B50D8C"/>
    <w:rsid w:val="00B52070"/>
    <w:rsid w:val="00B521BF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85497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E0F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972D8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17E8D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3694E"/>
    <w:rsid w:val="00E3793F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37F4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08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4E4F"/>
    <w:rsid w:val="00F568F1"/>
    <w:rsid w:val="00F56B51"/>
    <w:rsid w:val="00F57236"/>
    <w:rsid w:val="00F579F8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legis.mai.intranet/oficiale/afis.php?f=201712&amp;diez=A5&amp;link=0" TargetMode="External"/><Relationship Id="rId13" Type="http://schemas.openxmlformats.org/officeDocument/2006/relationships/hyperlink" Target="https://ec.europa.eu/info/funding-tenders/managing-your-project/managing-your-project-under-grant-agreement_ro" TargetMode="External"/><Relationship Id="rId18" Type="http://schemas.openxmlformats.org/officeDocument/2006/relationships/hyperlink" Target="https://mfe.gov.ro/minister/perioade-de-programare/perioada-2021-2027/" TargetMode="External"/><Relationship Id="rId26" Type="http://schemas.openxmlformats.org/officeDocument/2006/relationships/hyperlink" Target="https://fed.mai.gov.ro/1584/programul-national-2021-2027-instrumentul-pentru-managementul-frontierelor-si-politica-de-vize-consultare_publica-draft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reg-rohu.eu/ro/despre-progr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funding-tenders/find-funding/funding-management-mode_ro" TargetMode="External"/><Relationship Id="rId17" Type="http://schemas.openxmlformats.org/officeDocument/2006/relationships/hyperlink" Target="https://mfe.gov.ro/minister/perioade-de-programare/perioada-2021-2027/" TargetMode="External"/><Relationship Id="rId25" Type="http://schemas.openxmlformats.org/officeDocument/2006/relationships/hyperlink" Target="https://fed.mai.gov.ro/1563/fondurile-europene-dedicate-afacerilor-interne-2021-2027-fami-fsi-imfpv-regulamente-europene-adoptate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e.gov.ro/minister/perioade-de-programare/perioada-2021-2027/" TargetMode="External"/><Relationship Id="rId20" Type="http://schemas.openxmlformats.org/officeDocument/2006/relationships/hyperlink" Target="https://ro-ua.net/ro/about-the-programme-ro/prezentare-general%C4%83.html" TargetMode="External"/><Relationship Id="rId29" Type="http://schemas.openxmlformats.org/officeDocument/2006/relationships/hyperlink" Target="https://norwaygrants-ro.mai.gov.ro/wp-content/uploads/2018/12/Regulamentul-Mecanismului-Financiar-Norvegian-2014-2021-R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dlpa.ro/userfiles/ghid_MF.pdf" TargetMode="External"/><Relationship Id="rId24" Type="http://schemas.openxmlformats.org/officeDocument/2006/relationships/hyperlink" Target="https://fed.mai.gov.ro/1574/programul-national-2021-2027-fondul-securitate-interna-draft-2-consultare-publica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info/research-and-innovation/funding/funding-opportunities/funding-programmes-and-open-calls/horizon-europe_en" TargetMode="External"/><Relationship Id="rId23" Type="http://schemas.openxmlformats.org/officeDocument/2006/relationships/hyperlink" Target="https://interregviarobg.eu/" TargetMode="External"/><Relationship Id="rId28" Type="http://schemas.openxmlformats.org/officeDocument/2006/relationships/hyperlink" Target="https://fed.mai.gov.ro/1563/fondurile-europene-dedicate-afacerilor-interne-2021-2027-fami-fsi-imfpv-regulamente-europene-adoptate/" TargetMode="External"/><Relationship Id="rId10" Type="http://schemas.openxmlformats.org/officeDocument/2006/relationships/hyperlink" Target="https://www.mdlpa.ro/userfiles/ghid_MP.pdf" TargetMode="External"/><Relationship Id="rId19" Type="http://schemas.openxmlformats.org/officeDocument/2006/relationships/hyperlink" Target="https://ro-md.net/ro/despre-program" TargetMode="External"/><Relationship Id="rId31" Type="http://schemas.openxmlformats.org/officeDocument/2006/relationships/hyperlink" Target="https://www.fonduri-ue.ro/twin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ralegis.mai.intranet/oficiale/afis.php?f=201712&amp;diez=A5&amp;link=0" TargetMode="External"/><Relationship Id="rId14" Type="http://schemas.openxmlformats.org/officeDocument/2006/relationships/hyperlink" Target="https://www.fonduri-ue.ro/mysmis" TargetMode="External"/><Relationship Id="rId22" Type="http://schemas.openxmlformats.org/officeDocument/2006/relationships/hyperlink" Target="https://www.romania-serbia.net/?page_id=173" TargetMode="External"/><Relationship Id="rId27" Type="http://schemas.openxmlformats.org/officeDocument/2006/relationships/hyperlink" Target="https://fed.mai.gov.ro/wp-content/uploads/2021/10/IMFV-sfc2021-372639734466716110.pdf" TargetMode="External"/><Relationship Id="rId30" Type="http://schemas.openxmlformats.org/officeDocument/2006/relationships/hyperlink" Target="https://ec.europa.eu/neighbourhood-enlargement/funding-and-technical-assistance/twinning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42C1-E82D-4BF6-80EC-9F261FA2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1792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12163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voichita_stefan_dj</cp:lastModifiedBy>
  <cp:revision>46</cp:revision>
  <cp:lastPrinted>2022-06-29T08:50:00Z</cp:lastPrinted>
  <dcterms:created xsi:type="dcterms:W3CDTF">2021-09-19T08:39:00Z</dcterms:created>
  <dcterms:modified xsi:type="dcterms:W3CDTF">2022-06-29T12:10:00Z</dcterms:modified>
</cp:coreProperties>
</file>