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</w:t>
            </w:r>
            <w:r w:rsidR="00AD2F76">
              <w:rPr>
                <w:b/>
                <w:sz w:val="20"/>
                <w:szCs w:val="20"/>
              </w:rPr>
              <w:t>SERVICIUL RESURSE UMANE</w:t>
            </w:r>
            <w:r w:rsidRPr="00F111D3">
              <w:rPr>
                <w:b/>
                <w:sz w:val="20"/>
                <w:szCs w:val="20"/>
              </w:rPr>
              <w:t xml:space="preserve">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6540A6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050843">
                          <w:rPr>
                            <w:sz w:val="20"/>
                            <w:szCs w:val="20"/>
                          </w:rPr>
                          <w:t>.120.797</w:t>
                        </w:r>
                      </w:p>
                      <w:p w:rsidR="008D5E2A" w:rsidRPr="00F111D3" w:rsidRDefault="00050843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23.11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2023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AD2F7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050843" w:rsidRPr="005E1F77" w:rsidRDefault="008D5E2A" w:rsidP="00050843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Pr="005E1F77" w:rsidRDefault="005E1F77" w:rsidP="005E1F77">
            <w:pPr>
              <w:rPr>
                <w:b/>
              </w:rPr>
            </w:pPr>
          </w:p>
          <w:p w:rsidR="005E1F77" w:rsidRDefault="005E1F77" w:rsidP="005E1F77">
            <w:pPr>
              <w:tabs>
                <w:tab w:val="left" w:pos="1800"/>
              </w:tabs>
            </w:pPr>
          </w:p>
          <w:p w:rsidR="005E1F77" w:rsidRPr="008935C6" w:rsidRDefault="005E1F77" w:rsidP="0013302C">
            <w:pPr>
              <w:jc w:val="center"/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D2F76" w:rsidRPr="008935C6" w:rsidRDefault="00AD2F76" w:rsidP="002B2397">
      <w:pPr>
        <w:jc w:val="center"/>
        <w:rPr>
          <w:b/>
          <w:sz w:val="28"/>
          <w:szCs w:val="28"/>
        </w:rPr>
      </w:pPr>
    </w:p>
    <w:p w:rsidR="00A62F3D" w:rsidRDefault="007104E4" w:rsidP="007104E4">
      <w:pPr>
        <w:jc w:val="both"/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BB674B">
        <w:rPr>
          <w:i/>
        </w:rPr>
        <w:t xml:space="preserve">, contestaţiile formulate de candidaţii declaraţi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r w:rsidR="00AD2F76">
        <w:rPr>
          <w:i/>
          <w:lang w:val="en-US"/>
        </w:rPr>
        <w:t>“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AD2F76">
        <w:rPr>
          <w:i/>
          <w:lang w:val="en-US"/>
        </w:rPr>
        <w:t>”</w:t>
      </w:r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821AB2">
        <w:rPr>
          <w:i/>
          <w:lang w:val="en-US"/>
        </w:rPr>
        <w:t>octombrie</w:t>
      </w:r>
      <w:proofErr w:type="spellEnd"/>
      <w:r w:rsidR="00821AB2">
        <w:rPr>
          <w:i/>
          <w:lang w:val="en-US"/>
        </w:rPr>
        <w:t xml:space="preserve"> 2023 – </w:t>
      </w:r>
      <w:proofErr w:type="spellStart"/>
      <w:r w:rsidR="00821AB2">
        <w:rPr>
          <w:i/>
          <w:lang w:val="en-US"/>
        </w:rPr>
        <w:t>februarie</w:t>
      </w:r>
      <w:proofErr w:type="spellEnd"/>
      <w:r w:rsidR="00821AB2">
        <w:rPr>
          <w:i/>
          <w:lang w:val="en-US"/>
        </w:rPr>
        <w:t xml:space="preserve"> 2024</w:t>
      </w:r>
      <w:r w:rsidR="00BB674B">
        <w:rPr>
          <w:i/>
          <w:lang w:val="en-US"/>
        </w:rPr>
        <w:t xml:space="preserve">, au </w:t>
      </w:r>
      <w:proofErr w:type="spellStart"/>
      <w:r w:rsidR="00BB674B">
        <w:rPr>
          <w:i/>
          <w:lang w:val="en-US"/>
        </w:rPr>
        <w:t>fost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soluţionate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Pr="008935C6">
        <w:t>;</w:t>
      </w:r>
    </w:p>
    <w:p w:rsidR="00AD2F76" w:rsidRDefault="00AD2F76" w:rsidP="007104E4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1098"/>
        <w:gridCol w:w="2250"/>
        <w:gridCol w:w="2388"/>
        <w:gridCol w:w="2078"/>
      </w:tblGrid>
      <w:tr w:rsidR="00050843" w:rsidTr="00050843">
        <w:trPr>
          <w:jc w:val="center"/>
        </w:trPr>
        <w:tc>
          <w:tcPr>
            <w:tcW w:w="1098" w:type="dxa"/>
            <w:shd w:val="clear" w:color="auto" w:fill="D9D9D9" w:themeFill="background1" w:themeFillShade="D9"/>
          </w:tcPr>
          <w:p w:rsidR="00050843" w:rsidRPr="008B6673" w:rsidRDefault="00050843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50843" w:rsidRPr="008B6673" w:rsidRDefault="00050843" w:rsidP="00814068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>concurs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050843" w:rsidRPr="008B667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050843" w:rsidRPr="008B667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DJ-SVL-LC-108429</w:t>
            </w:r>
          </w:p>
        </w:tc>
        <w:tc>
          <w:tcPr>
            <w:tcW w:w="238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814068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DJ-SVL-LC-108380</w:t>
            </w:r>
          </w:p>
        </w:tc>
        <w:tc>
          <w:tcPr>
            <w:tcW w:w="2388" w:type="dxa"/>
          </w:tcPr>
          <w:p w:rsidR="00050843" w:rsidRDefault="00050843" w:rsidP="00966D37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66D37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DJ-SVL-LC-108464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DJ-SVL-LC-108385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DJ-SVL-LC-108441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DJ-SVL-LC-108357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DJ-SVL-LC-108402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050843" w:rsidTr="00050843">
        <w:trPr>
          <w:jc w:val="center"/>
        </w:trPr>
        <w:tc>
          <w:tcPr>
            <w:tcW w:w="1098" w:type="dxa"/>
          </w:tcPr>
          <w:p w:rsidR="00050843" w:rsidRDefault="00050843" w:rsidP="00814068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50" w:type="dxa"/>
            <w:vAlign w:val="center"/>
          </w:tcPr>
          <w:p w:rsidR="00050843" w:rsidRPr="00821AB2" w:rsidRDefault="00050843">
            <w:pPr>
              <w:jc w:val="center"/>
              <w:rPr>
                <w:b/>
                <w:iCs/>
              </w:rPr>
            </w:pPr>
            <w:r w:rsidRPr="00821AB2">
              <w:rPr>
                <w:b/>
                <w:iCs/>
              </w:rPr>
              <w:t>DJ-SVL-LC-108439</w:t>
            </w:r>
          </w:p>
        </w:tc>
        <w:tc>
          <w:tcPr>
            <w:tcW w:w="2388" w:type="dxa"/>
          </w:tcPr>
          <w:p w:rsidR="00050843" w:rsidRDefault="00050843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078" w:type="dxa"/>
          </w:tcPr>
          <w:p w:rsidR="00050843" w:rsidRPr="000B3C15" w:rsidRDefault="00050843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</w:tbl>
    <w:p w:rsidR="008D5E2A" w:rsidRPr="008935C6" w:rsidRDefault="00A62F3D" w:rsidP="00814068">
      <w:pPr>
        <w:jc w:val="both"/>
      </w:pPr>
      <w:r w:rsidRPr="008935C6">
        <w:rPr>
          <w:b/>
        </w:rPr>
        <w:tab/>
      </w:r>
    </w:p>
    <w:p w:rsidR="0022345F" w:rsidRPr="008935C6" w:rsidRDefault="0022345F" w:rsidP="00814068">
      <w:pPr>
        <w:jc w:val="both"/>
      </w:pPr>
    </w:p>
    <w:p w:rsidR="000B3C15" w:rsidRDefault="008D5E2A" w:rsidP="00050843">
      <w:pPr>
        <w:spacing w:line="360" w:lineRule="auto"/>
        <w:jc w:val="both"/>
        <w:rPr>
          <w:b/>
          <w:color w:val="000000"/>
        </w:rPr>
      </w:pPr>
      <w:r>
        <w:tab/>
      </w:r>
      <w:r w:rsidR="00050843">
        <w:tab/>
      </w:r>
      <w:r w:rsidR="00050843">
        <w:tab/>
      </w:r>
      <w:r w:rsidR="00050843">
        <w:tab/>
      </w:r>
      <w:r w:rsidR="00050843">
        <w:tab/>
      </w:r>
      <w:r w:rsidR="000B3C15">
        <w:rPr>
          <w:b/>
          <w:color w:val="000000"/>
        </w:rPr>
        <w:t xml:space="preserve">         </w:t>
      </w:r>
      <w:r w:rsidR="000B3C15" w:rsidRPr="00D858D5">
        <w:rPr>
          <w:b/>
          <w:color w:val="000000"/>
        </w:rPr>
        <w:t>ŞEF SERVICIU</w:t>
      </w:r>
      <w:r w:rsidR="000B3C15">
        <w:rPr>
          <w:b/>
          <w:color w:val="000000"/>
        </w:rPr>
        <w:t>,</w:t>
      </w:r>
    </w:p>
    <w:p w:rsidR="000B3C15" w:rsidRDefault="000B3C15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p w:rsidR="00050843" w:rsidRDefault="00050843" w:rsidP="000B3C15">
      <w:pPr>
        <w:jc w:val="center"/>
        <w:rPr>
          <w:b/>
          <w:color w:val="000000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050843" w:rsidRPr="00B61EED" w:rsidTr="00905D0A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050843" w:rsidRPr="007D48C2" w:rsidRDefault="00050843" w:rsidP="00905D0A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050843" w:rsidRPr="007D48C2" w:rsidRDefault="00050843" w:rsidP="00905D0A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050843" w:rsidRPr="007D48C2" w:rsidRDefault="00050843" w:rsidP="00905D0A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050843" w:rsidRPr="008D3F65" w:rsidRDefault="00050843" w:rsidP="00050843">
      <w:pPr>
        <w:tabs>
          <w:tab w:val="center" w:pos="4320"/>
          <w:tab w:val="right" w:pos="8640"/>
        </w:tabs>
        <w:ind w:right="-355"/>
        <w:jc w:val="center"/>
        <w:rPr>
          <w:sz w:val="14"/>
          <w:szCs w:val="14"/>
        </w:rPr>
      </w:pPr>
      <w:r w:rsidRPr="008D3F65">
        <w:rPr>
          <w:sz w:val="14"/>
          <w:szCs w:val="14"/>
        </w:rPr>
        <w:t>Nesecret</w:t>
      </w:r>
    </w:p>
    <w:p w:rsidR="00050843" w:rsidRPr="008D3F65" w:rsidRDefault="00050843" w:rsidP="00050843">
      <w:pPr>
        <w:tabs>
          <w:tab w:val="center" w:pos="4320"/>
          <w:tab w:val="right" w:pos="8640"/>
        </w:tabs>
        <w:jc w:val="center"/>
        <w:rPr>
          <w:sz w:val="14"/>
          <w:szCs w:val="14"/>
        </w:rPr>
      </w:pPr>
      <w:r w:rsidRPr="008D3F65">
        <w:rPr>
          <w:bCs/>
          <w:sz w:val="14"/>
          <w:szCs w:val="14"/>
        </w:rPr>
        <w:t>Confidenţial! Date cu caracter personal, prelucrate conform prevederilor Regulamentului UE nr. 679/2016</w:t>
      </w:r>
    </w:p>
    <w:p w:rsidR="00050843" w:rsidRPr="002E2D73" w:rsidRDefault="00050843" w:rsidP="000B3C15">
      <w:pPr>
        <w:jc w:val="center"/>
        <w:rPr>
          <w:b/>
          <w:color w:val="000000"/>
        </w:rPr>
      </w:pPr>
    </w:p>
    <w:sectPr w:rsidR="00050843" w:rsidRPr="002E2D73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62F3D"/>
    <w:rsid w:val="0004240A"/>
    <w:rsid w:val="00050843"/>
    <w:rsid w:val="00096346"/>
    <w:rsid w:val="000B3C15"/>
    <w:rsid w:val="000E72AE"/>
    <w:rsid w:val="000E7EAF"/>
    <w:rsid w:val="00112794"/>
    <w:rsid w:val="00131BC7"/>
    <w:rsid w:val="0013302C"/>
    <w:rsid w:val="001C2DCE"/>
    <w:rsid w:val="001D32DB"/>
    <w:rsid w:val="001D5B58"/>
    <w:rsid w:val="0022345F"/>
    <w:rsid w:val="0025393E"/>
    <w:rsid w:val="00282A0B"/>
    <w:rsid w:val="002B2397"/>
    <w:rsid w:val="002C3962"/>
    <w:rsid w:val="002F5B87"/>
    <w:rsid w:val="00392BC1"/>
    <w:rsid w:val="003B14E2"/>
    <w:rsid w:val="00421F57"/>
    <w:rsid w:val="00446255"/>
    <w:rsid w:val="004A76DD"/>
    <w:rsid w:val="004B604C"/>
    <w:rsid w:val="004D2249"/>
    <w:rsid w:val="004D3EC0"/>
    <w:rsid w:val="004D7C5E"/>
    <w:rsid w:val="005B5DCF"/>
    <w:rsid w:val="005D73BD"/>
    <w:rsid w:val="005E1F77"/>
    <w:rsid w:val="006366A6"/>
    <w:rsid w:val="006540A6"/>
    <w:rsid w:val="00655D17"/>
    <w:rsid w:val="00692755"/>
    <w:rsid w:val="006B332A"/>
    <w:rsid w:val="007104E4"/>
    <w:rsid w:val="00733164"/>
    <w:rsid w:val="0074258C"/>
    <w:rsid w:val="007854C8"/>
    <w:rsid w:val="007A06E0"/>
    <w:rsid w:val="007A7441"/>
    <w:rsid w:val="007C37D6"/>
    <w:rsid w:val="008013FC"/>
    <w:rsid w:val="00803324"/>
    <w:rsid w:val="00814068"/>
    <w:rsid w:val="008208A1"/>
    <w:rsid w:val="00821AB2"/>
    <w:rsid w:val="0084583D"/>
    <w:rsid w:val="00850885"/>
    <w:rsid w:val="00881E93"/>
    <w:rsid w:val="008935C6"/>
    <w:rsid w:val="008B6673"/>
    <w:rsid w:val="008D5E2A"/>
    <w:rsid w:val="00907959"/>
    <w:rsid w:val="00997C13"/>
    <w:rsid w:val="009C7866"/>
    <w:rsid w:val="009F0197"/>
    <w:rsid w:val="00A0183F"/>
    <w:rsid w:val="00A16037"/>
    <w:rsid w:val="00A32F69"/>
    <w:rsid w:val="00A51D39"/>
    <w:rsid w:val="00A62F3D"/>
    <w:rsid w:val="00AD23AB"/>
    <w:rsid w:val="00AD2F76"/>
    <w:rsid w:val="00AF143E"/>
    <w:rsid w:val="00B27ECD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36D16"/>
    <w:rsid w:val="00E37D29"/>
    <w:rsid w:val="00E37E2A"/>
    <w:rsid w:val="00E51310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2023-11-23T13:08:00Z</cp:lastPrinted>
  <dcterms:created xsi:type="dcterms:W3CDTF">2023-11-23T13:16:00Z</dcterms:created>
  <dcterms:modified xsi:type="dcterms:W3CDTF">2023-11-23T13:16:00Z</dcterms:modified>
</cp:coreProperties>
</file>